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40"/>
      </w:tblGrid>
      <w:tr w:rsidR="00CF4EB2">
        <w:tblPrEx>
          <w:tblCellMar>
            <w:top w:w="0" w:type="dxa"/>
            <w:bottom w:w="0" w:type="dxa"/>
          </w:tblCellMar>
        </w:tblPrEx>
        <w:trPr>
          <w:trHeight w:val="95"/>
        </w:trPr>
        <w:tc>
          <w:tcPr>
            <w:tcW w:w="234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2160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440"/>
            </w:tblGrid>
            <w:tr w:rsidR="00CF4EB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4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23440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440"/>
                  </w:tblGrid>
                  <w:tr w:rsidR="00CF4EB2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2344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21600" w:type="dxa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3440"/>
                        </w:tblGrid>
                        <w:tr w:rsidR="00CF4EB2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23440" w:type="dxa"/>
                              <w:shd w:val="clear" w:color="auto" w:fill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23440" w:type="dxa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0"/>
                                <w:gridCol w:w="40"/>
                                <w:gridCol w:w="15231"/>
                                <w:gridCol w:w="42"/>
                                <w:gridCol w:w="7841"/>
                                <w:gridCol w:w="26"/>
                              </w:tblGrid>
                              <w:tr w:rsidR="00CF4EB2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5573" w:type="dxa"/>
                                    <w:gridSpan w:val="4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W w:w="15573" w:type="dxa"/>
                                      <w:tblCellMar>
                                        <w:left w:w="10" w:type="dxa"/>
                                        <w:right w:w="1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5573"/>
                                    </w:tblGrid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593"/>
                                      </w:trPr>
                                      <w:tc>
                                        <w:tcPr>
                                          <w:tcW w:w="15573" w:type="dxa"/>
                                          <w:shd w:val="clear" w:color="auto" w:fill="0070C0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val="en-US" w:eastAsia="hr-HR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val="en-US" w:eastAsia="hr-HR"/>
                                            </w:rPr>
                                            <w:t xml:space="preserve">POPIS UDRUGA </w:t>
                                          </w:r>
                                        </w:p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val="en-US"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val="en-US" w:eastAsia="hr-HR"/>
                                            </w:rPr>
                                            <w:t>ČIJE PRIJAVE NE ISPUNJAVAJU UVJETE JAVNOG NATJEČAJA ZA FINANCIRANJE PROGRAMA I PROJEKATA UDRUGA</w:t>
                                          </w:r>
                                        </w:p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val="en-US"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val="en-US" w:eastAsia="hr-HR"/>
                                            </w:rPr>
                                            <w:t xml:space="preserve">IZ PODRUČJA BRANITELJA IZ DOMOVINSKOG RATA, BORACA II. SVJETSKOG RATA I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val="en-US" w:eastAsia="hr-HR"/>
                                            </w:rPr>
                                            <w:t xml:space="preserve">CIVILNIH INVALIDA RATA IZ PRORAČUNA ZA 2018.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F4EB2" w:rsidRDefault="00CF4EB2">
                                    <w:pPr>
                                      <w:spacing w:after="0"/>
                                      <w:rPr>
                                        <w:rFonts w:ascii="Arial" w:hAnsi="Arial" w:cs="Arial"/>
                                        <w:vanish/>
                                      </w:rPr>
                                    </w:pPr>
                                  </w:p>
                                  <w:tbl>
                                    <w:tblPr>
                                      <w:tblW w:w="15573" w:type="dxa"/>
                                      <w:jc w:val="center"/>
                                      <w:tblCellMar>
                                        <w:left w:w="10" w:type="dxa"/>
                                        <w:right w:w="1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1238"/>
                                      <w:gridCol w:w="1996"/>
                                      <w:gridCol w:w="6451"/>
                                      <w:gridCol w:w="5888"/>
                                    </w:tblGrid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849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F4EB2" w:rsidRDefault="00CF4EB2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lang w:eastAsia="hr-HR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F4EB2" w:rsidRDefault="00CF4EB2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lang w:eastAsia="hr-HR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F4EB2" w:rsidRDefault="00CF4EB2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lang w:eastAsia="hr-HR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F4EB2" w:rsidRDefault="00CF4EB2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lang w:eastAsia="hr-H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1418"/>
                                        <w:jc w:val="center"/>
                                      </w:trPr>
                                      <w:tc>
                                        <w:tcPr>
                                          <w:tcW w:w="15573" w:type="dxa"/>
                                          <w:gridSpan w:val="4"/>
                                          <w:shd w:val="clear" w:color="auto" w:fill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CF4EB2" w:rsidRDefault="00CF4EB2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CF4EB2" w:rsidRDefault="009914F4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>OVAJ POPIS JE OBJAVLJEN NA INTERNETSKOJ STRANICI GRADA ZAGREBA dana 20.6.2018.</w:t>
                                          </w:r>
                                        </w:p>
                                        <w:p w:rsidR="00CF4EB2" w:rsidRDefault="00CF4EB2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CF4EB2" w:rsidRDefault="009914F4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>ROK ZA PODNOŠENJE PRIGOVORA NA POPIS JE OSAM DANA OD OBJAVE ZAKLJUČNO  28.6.2018.</w:t>
                                          </w:r>
                                        </w:p>
                                        <w:p w:rsidR="00CF4EB2" w:rsidRDefault="00CF4EB2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CF4EB2" w:rsidRDefault="009914F4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 xml:space="preserve">Prigovor se podnosi gradonačelniku 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  <w:t>Grada Zagreba, u pisanom obliku, putem Gradskog ureda za branitelje, Trg S. Radića 1, 10000 Zagreb</w:t>
                                          </w:r>
                                        </w:p>
                                        <w:p w:rsidR="00CF4EB2" w:rsidRDefault="00CF4EB2">
                                          <w:pPr>
                                            <w:pStyle w:val="EmptyCellLayoutStyle"/>
                                            <w:spacing w:after="0" w:line="240" w:lineRule="auto"/>
                                            <w:rPr>
                                              <w:rFonts w:ascii="Arial" w:hAnsi="Arial" w:cs="Arial"/>
                                              <w:sz w:val="22"/>
                                              <w:szCs w:val="22"/>
                                            </w:rPr>
                                          </w:pPr>
                                        </w:p>
                                        <w:p w:rsidR="00CF4EB2" w:rsidRDefault="00CF4EB2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lang w:eastAsia="hr-H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857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0070C0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eastAsia="hr-HR"/>
                                            </w:rPr>
                                            <w:t>Redni broj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0070C0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eastAsia="hr-HR"/>
                                            </w:rPr>
                                            <w:t>Naziv podnositelja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0070C0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eastAsia="hr-HR"/>
                                            </w:rPr>
                                            <w:t>Naziv programa/projekta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0070C0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FFFFFF"/>
                                              <w:lang w:eastAsia="hr-HR"/>
                                            </w:rPr>
                                            <w:t>Razlog neispunjavanja uvjeta natječaja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top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  <w:t>1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top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  <w:t>2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top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top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  <w:t>4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5573" w:type="dxa"/>
                                          <w:gridSpan w:val="4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B0C4DE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  <w:t xml:space="preserve">Branitelji iz Domovinskog rata i njihove obitelji,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eastAsia="hr-HR"/>
                                            </w:rPr>
                                            <w:t>borci II. svjetskog rata i civilni invalidi rata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1.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„Vukovarske majke“ – udruga roditelja i obitelji zarobljenih i nasilno odvedenih hrvatskih branitelja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VUKOVAR I ŠKABRNJA U ZAGREBU – 27 GODINA POSLIJE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Točka 4. podtočka 7. - Udruga ima nepodmiren dug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prema Gradsko stambeno komunalnom gospodarstvu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2.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CENTAR ZA ŽENE ŽRTVE RATA - ROSA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Podrška ženama koje su preživjele ratno silovanje i ratno nasilje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Točka 4. podtočka 12. - Projekt se ne provodi na području Grada Zagreba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3.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Klub tenisača u kolicima Tigar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 Zagreb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Međunarodni turniri za tenisače u kolicima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Točka 4. podtočke 10. i 13. - Udruga nije dostavila uvjerenje da se ne vodi kazneni postupak protiv voditelja programa; udruga nije priložila potvrde drugih  Gradskih upravnih tijela o potrošnji proračunsk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ih sredstava koji su je financirali u prethodnoj proračunskoj godini  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4.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Udruga antifašističkih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lastRenderedPageBreak/>
                                            <w:t>boraca i antifašista Trešnjevka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lastRenderedPageBreak/>
                                            <w:t>Socijalno humanitarni projekt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Točka 4. podtočka 13. - Prijava na natječaj mora sadržavati sve podatke, dokumentaciju i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popunjene obrasce, udruga nije dostavila izjavu o partnerstvu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lastRenderedPageBreak/>
                                            <w:t>5.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Udruga hrvatskih branitelja Domovinskog rata „99. brigade“ Peščenica-Zagreb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Sportsko-rekreacijsko natjecanje u gađanju zračnom puškom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Točka 4. podtočke 10. i 13. - Udruga nije priložila uvj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erenje da se ne vodi kazneni postupak protiv voditelja programa/projekta; udruga je priložila dokaz o solventnosti udruge stariji od 30 dana od dana objave natječaja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6.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Udruga hrvatskih dragovoljaca i branitelja Domovinskog rata Gornje Vrapče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DANI GORNJEG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 VRAPČA-CJELOGODIŠNJI EDUKATIVNO KULTURNO ZABAVNO SPORTSKI PROGRAM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Točka 4. podtočka 13. - Udruga nije priložila potvrdu Gradskog upravnog tijela o potrošnji proračunskih sredstava za prethodnu proračunsku godinu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7.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Udruga ratnih veterana 1.gardijske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brigade "Tigrovi"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Obilježavanje 28.obljetnice osnutka 1.gardijske brigade ''Tigrovi''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Točka 4. podtočke 10. i 13. - Udruga nije priložila uvjerenje da se ne vodi kazneni postupak protiv voditelja programa/projekta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8.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Centar zdravlja i poboljšanja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kvalitete života Ada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Bolje za zdravlje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</w:pP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  <w:t>Točka 4. podtočka 3. Osoba ovlaštena za zastupanje udruge nije u mandatu.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9.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UDRUGA TIGAR 90/91 RAKITJE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Program radne rehabilitacije branitelja i HRVI Tigrova " Sam svoj majstor"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Točka 4. podtočke 3. 10. 13. -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Prijava na natječaj ne sadrži sve podatke, dokumentaciju i popunjene obrasce, udruga nije dostavila uvjerenje da se ne vodi kazneni postupak protiv odgovorne osobe udruge, nije dostavila potvrdu Gradskog upravnog tijela o potrošnji proračunskih sredstava z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a prethodnu proračunsku godinu, nije dostavila izjavu o partnerstvu, o</w:t>
                                          </w:r>
                                          <w:r>
                                            <w:rPr>
                                              <w:rFonts w:ascii="Arial" w:hAnsi="Arial" w:cs="Arial"/>
                                              <w:color w:val="000000"/>
                                            </w:rPr>
                                            <w:t>soba ovlaštena za zastupanje udruge nije u mandatu.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10.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Udruga veterana specijalne jedinice Alfa Zagreb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Obilježavanje obljetnica UVSJP ALFA 2018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Točka 4. podtočka 7. - Udruga ima nepodm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iren dug prema Gradsko stambeno komunalnom gospodarstvu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11.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Udruga za šport i rekreaciju "Veteran 91"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23. Tradicionalni teniski turnir «Veterani i prijatelji»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Točka 4. podtočke 10. i 13. - Udruga nije dostavila uvjerenje da se ne vodi kazneni postupak pro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tiv odgovorne osobe udruge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12.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Udruga za šport i rekreaciju "Veteran 91"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Malonogometni turnir pod motom «Veterani i prijatelji športom protiv poroka» MIHOLJE 2018.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Točka 4. podtočke 10. i 13. - Udruga nije dostavila uvjerenje da se ne vodi kazneni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postupak protiv odgovorne osobe udruge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lastRenderedPageBreak/>
                                            <w:t>13.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Udruga za šport i rekreaciju "Veteran 91"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6.tradicionalni Božićni teniski turnir u spomen na sve poginule i umrle hrvatske branitelje GZ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Točka 4. podtočke 10. i 13. - Udruga nije dostavila uvjerenje da se ne vodi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 kazneni postupak protiv odgovorne osobe udruge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14.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Udruga hrvatskih branitelja Domovinskog rata 101. brigade ZNG-a/HV-a, Zagreb-Susedgrad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Domovinski rat – P( r )oučavanje mladeži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Točka 4. podtočka 13. - Prijava na natječaj mora sadržavati sve podatke,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dokumentaciju i popunjene obrasce, udruga je priložila prazan obrazac životopisa</w:t>
                                          </w:r>
                                        </w:p>
                                      </w:tc>
                                    </w:tr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  <w:jc w:val="center"/>
                                      </w:trPr>
                                      <w:tc>
                                        <w:tcPr>
                                          <w:tcW w:w="123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15.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996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ZAJEDNICA UDRUGA I ČLANOVA HVIDR-a GRADA ZAGREBA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451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jc w:val="center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>DOPRINOS ZAGREBAČKIH RATNIH POSTROJBI U OBRANI RH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888" w:type="dxa"/>
                                          <w:tcBorders>
                                            <w:top w:val="single" w:sz="8" w:space="0" w:color="000000"/>
                                            <w:left w:val="single" w:sz="8" w:space="0" w:color="000000"/>
                                            <w:bottom w:val="single" w:sz="8" w:space="0" w:color="000000"/>
                                            <w:right w:val="single" w:sz="8" w:space="0" w:color="000000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</w:tcPr>
                                        <w:p w:rsidR="00CF4EB2" w:rsidRDefault="009914F4">
                                          <w:pPr>
                                            <w:spacing w:after="0" w:line="240" w:lineRule="auto"/>
                                            <w:textAlignment w:val="center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Točka 4. podtočka 13. - Prijava na natječaj ne sadrži sve podatke,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eastAsia="hr-HR"/>
                                            </w:rPr>
                                            <w:t xml:space="preserve">dokumentaciju i popunjene obrasce, udruga nije priložila potvrdu Gradskog upravnog tijela o potrošnji proračunskih sredstava za prethodnu proračunsku godinu 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F4EB2" w:rsidRDefault="009914F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7841" w:type="dxa"/>
                                    <w:shd w:val="clear" w:color="auto" w:fill="auto"/>
                                    <w:tcMar>
                                      <w:top w:w="0" w:type="dxa"/>
                                      <w:left w:w="10" w:type="dxa"/>
                                      <w:bottom w:w="0" w:type="dxa"/>
                                      <w:right w:w="1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" w:type="dxa"/>
                                    <w:shd w:val="clear" w:color="auto" w:fill="auto"/>
                                    <w:tcMar>
                                      <w:top w:w="0" w:type="dxa"/>
                                      <w:left w:w="10" w:type="dxa"/>
                                      <w:bottom w:w="0" w:type="dxa"/>
                                      <w:right w:w="1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</w:tc>
                              </w:tr>
                              <w:tr w:rsidR="00CF4EB2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180"/>
                                </w:trPr>
                                <w:tc>
                                  <w:tcPr>
                                    <w:tcW w:w="260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80" w:type="dxa"/>
                                    <w:gridSpan w:val="5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</w:tr>
                              <w:tr w:rsidR="00CF4EB2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340"/>
                                </w:trPr>
                                <w:tc>
                                  <w:tcPr>
                                    <w:tcW w:w="260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231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W w:w="2248" w:type="dxa"/>
                                      <w:tblCellMar>
                                        <w:left w:w="10" w:type="dxa"/>
                                        <w:right w:w="1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2248"/>
                                    </w:tblGrid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</w:trPr>
                                      <w:tc>
                                        <w:tcPr>
                                          <w:tcW w:w="2248" w:type="dxa"/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F4EB2" w:rsidRDefault="00CF4EB2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000000"/>
                                              <w:lang w:val="en-US" w:eastAsia="hr-H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41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W w:w="7841" w:type="dxa"/>
                                      <w:tblCellMar>
                                        <w:left w:w="10" w:type="dxa"/>
                                        <w:right w:w="1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7841"/>
                                    </w:tblGrid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</w:trPr>
                                      <w:tc>
                                        <w:tcPr>
                                          <w:tcW w:w="7841" w:type="dxa"/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F4EB2" w:rsidRDefault="00CF4EB2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val="en-US" w:eastAsia="hr-H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</w:tr>
                              <w:tr w:rsidR="00CF4EB2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340"/>
                                </w:trPr>
                                <w:tc>
                                  <w:tcPr>
                                    <w:tcW w:w="260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231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lang w:val="en-US"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41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lang w:val="en-US"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</w:tr>
                              <w:tr w:rsidR="00CF4EB2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100"/>
                                </w:trPr>
                                <w:tc>
                                  <w:tcPr>
                                    <w:tcW w:w="260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pStyle w:val="NoSpacing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80" w:type="dxa"/>
                                    <w:gridSpan w:val="5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pStyle w:val="EmptyCellLayoutStyle"/>
                                      <w:spacing w:after="0" w:line="240" w:lineRule="auto"/>
                                      <w:rPr>
                                        <w:rFonts w:ascii="Arial" w:hAnsi="Arial" w:cs="Arial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  <w:tr w:rsidR="00CF4EB2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340"/>
                                </w:trPr>
                                <w:tc>
                                  <w:tcPr>
                                    <w:tcW w:w="260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231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2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841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tbl>
                                    <w:tblPr>
                                      <w:tblW w:w="7841" w:type="dxa"/>
                                      <w:tblCellMar>
                                        <w:left w:w="10" w:type="dxa"/>
                                        <w:right w:w="1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7841"/>
                                    </w:tblGrid>
                                    <w:tr w:rsidR="00CF4EB2">
                                      <w:tblPrEx>
                                        <w:tblCellMar>
                                          <w:top w:w="0" w:type="dxa"/>
                                          <w:bottom w:w="0" w:type="dxa"/>
                                        </w:tblCellMar>
                                      </w:tblPrEx>
                                      <w:trPr>
                                        <w:trHeight w:val="340"/>
                                      </w:trPr>
                                      <w:tc>
                                        <w:tcPr>
                                          <w:tcW w:w="7841" w:type="dxa"/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</w:tcPr>
                                        <w:p w:rsidR="00CF4EB2" w:rsidRDefault="00CF4EB2">
                                          <w:pPr>
                                            <w:spacing w:after="0" w:line="240" w:lineRule="auto"/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lang w:val="en-US" w:eastAsia="hr-H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val="en-US"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" w:type="dxa"/>
                                    <w:shd w:val="clear" w:color="auto" w:fill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CF4EB2" w:rsidRDefault="00CF4EB2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lang w:eastAsia="hr-H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F4EB2" w:rsidRDefault="00CF4EB2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lang w:eastAsia="hr-HR"/>
                                </w:rPr>
                              </w:pPr>
                            </w:p>
                          </w:tc>
                        </w:tr>
                      </w:tbl>
                      <w:p w:rsidR="00CF4EB2" w:rsidRDefault="00CF4EB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hr-HR"/>
                          </w:rPr>
                        </w:pPr>
                      </w:p>
                    </w:tc>
                  </w:tr>
                </w:tbl>
                <w:p w:rsidR="00CF4EB2" w:rsidRDefault="00CF4EB2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hr-HR"/>
                    </w:rPr>
                  </w:pPr>
                </w:p>
              </w:tc>
            </w:tr>
          </w:tbl>
          <w:p w:rsidR="00CF4EB2" w:rsidRDefault="00CF4EB2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CF4EB2" w:rsidRDefault="00CF4EB2"/>
    <w:sectPr w:rsidR="00CF4EB2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F4" w:rsidRDefault="009914F4">
      <w:pPr>
        <w:spacing w:after="0" w:line="240" w:lineRule="auto"/>
      </w:pPr>
      <w:r>
        <w:separator/>
      </w:r>
    </w:p>
  </w:endnote>
  <w:endnote w:type="continuationSeparator" w:id="0">
    <w:p w:rsidR="009914F4" w:rsidRDefault="0099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F4" w:rsidRDefault="009914F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914F4" w:rsidRDefault="00991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F4EB2"/>
    <w:rsid w:val="009914F4"/>
    <w:rsid w:val="00CF4EB2"/>
    <w:rsid w:val="00E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4B03C-450A-4699-8FD0-8B27E1C1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pPr>
      <w:spacing w:after="160" w:line="251" w:lineRule="auto"/>
      <w:textAlignment w:val="auto"/>
    </w:pPr>
    <w:rPr>
      <w:rFonts w:ascii="Times New Roman" w:eastAsia="Times New Roman" w:hAnsi="Times New Roman"/>
      <w:sz w:val="2"/>
      <w:szCs w:val="20"/>
      <w:lang w:eastAsia="hr-HR"/>
    </w:rPr>
  </w:style>
  <w:style w:type="paragraph" w:styleId="NoSpacing">
    <w:name w:val="No Spacing"/>
    <w:pPr>
      <w:suppressAutoHyphens/>
      <w:spacing w:after="0" w:line="240" w:lineRule="auto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Šarić</dc:creator>
  <dc:description/>
  <cp:lastModifiedBy>Irena Šonc</cp:lastModifiedBy>
  <cp:revision>2</cp:revision>
  <cp:lastPrinted>2018-06-20T09:11:00Z</cp:lastPrinted>
  <dcterms:created xsi:type="dcterms:W3CDTF">2018-06-20T12:17:00Z</dcterms:created>
  <dcterms:modified xsi:type="dcterms:W3CDTF">2018-06-20T12:17:00Z</dcterms:modified>
</cp:coreProperties>
</file>